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139251898" name="Picture">
</wp:docPr>
                  <a:graphic>
                    <a:graphicData uri="http://schemas.openxmlformats.org/drawingml/2006/picture">
                      <pic:pic>
                        <pic:nvPicPr>
                          <pic:cNvPr id="213925189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625.25.00077 Поставка ИБП</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13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3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6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4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подтверждения отношений со всеми производителями всего или части объема номенклатурных позиций, предлагаемой продукции, требовавшихся по ТЗ</w:t>
                          <w:br/>
                          <w:t xml:space="preserve">От 2 до 4 баллов  - Диапазон не используется для оценки</w:t>
                          <w:br/>
                          <w:t xml:space="preserve">5 баллов - В случае подтверждения отношений со всеми производителями всего объема номенклатурных позиций, предлагаемой продукции, требовавшихся по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